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1E" w:rsidRPr="0062491E" w:rsidRDefault="0062491E" w:rsidP="00624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1E">
        <w:rPr>
          <w:rFonts w:ascii="Times New Roman" w:hAnsi="Times New Roman" w:cs="Times New Roman"/>
          <w:b/>
          <w:sz w:val="24"/>
          <w:szCs w:val="24"/>
        </w:rPr>
        <w:t>ДЕФОРМАЦИОННОЕ ПОВЕДЕНИЕ ДЕНТИНА И ЭМАЛИ ЧЕЛОВЕКА С ПОЗИЦИИ ИХ ИЕРАРХИЧЕСКОГО СТРОЕНИЯ</w:t>
      </w:r>
    </w:p>
    <w:p w:rsidR="0062491E" w:rsidRPr="0062491E" w:rsidRDefault="0062491E" w:rsidP="00624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1E" w:rsidRPr="0062491E" w:rsidRDefault="0062491E" w:rsidP="00624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91E">
        <w:rPr>
          <w:rFonts w:ascii="Times New Roman" w:hAnsi="Times New Roman" w:cs="Times New Roman"/>
          <w:sz w:val="24"/>
          <w:szCs w:val="24"/>
        </w:rPr>
        <w:t>Зайцев Д.В., Панфилов П.Е.</w:t>
      </w:r>
      <w:bookmarkStart w:id="0" w:name="_GoBack"/>
      <w:bookmarkEnd w:id="0"/>
    </w:p>
    <w:p w:rsidR="0062491E" w:rsidRPr="0062491E" w:rsidRDefault="0062491E" w:rsidP="00624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91E">
        <w:rPr>
          <w:rFonts w:ascii="Times New Roman" w:hAnsi="Times New Roman" w:cs="Times New Roman"/>
          <w:sz w:val="24"/>
          <w:szCs w:val="24"/>
        </w:rPr>
        <w:t>Екатеринбург, Россия</w:t>
      </w:r>
    </w:p>
    <w:p w:rsidR="0062491E" w:rsidRPr="0062491E" w:rsidRDefault="0062491E" w:rsidP="00624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91E" w:rsidRPr="0062491E" w:rsidRDefault="0062491E" w:rsidP="00624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1E">
        <w:rPr>
          <w:rFonts w:ascii="Times New Roman" w:hAnsi="Times New Roman" w:cs="Times New Roman"/>
          <w:sz w:val="24"/>
          <w:szCs w:val="24"/>
        </w:rPr>
        <w:t>Дентин и эмаль человека являются биологическими композитами с иерархической структурой. Они состоят из неорганических и органических компонентов. При этом с</w:t>
      </w:r>
      <w:r w:rsidRPr="0062491E">
        <w:rPr>
          <w:rFonts w:ascii="Times New Roman" w:hAnsi="Times New Roman" w:cs="Times New Roman"/>
          <w:sz w:val="24"/>
          <w:szCs w:val="24"/>
        </w:rPr>
        <w:t>о</w:t>
      </w:r>
      <w:r w:rsidRPr="0062491E">
        <w:rPr>
          <w:rFonts w:ascii="Times New Roman" w:hAnsi="Times New Roman" w:cs="Times New Roman"/>
          <w:sz w:val="24"/>
          <w:szCs w:val="24"/>
        </w:rPr>
        <w:t xml:space="preserve">держание органики в дентине значительно больше по сравнению с эмалью: дентин – 50% неорганики и 30% органики; эмаль – 92% неорганики и 2% органики (по объему). Основным структурными элементами на </w:t>
      </w:r>
      <w:proofErr w:type="spellStart"/>
      <w:r w:rsidRPr="0062491E">
        <w:rPr>
          <w:rFonts w:ascii="Times New Roman" w:hAnsi="Times New Roman" w:cs="Times New Roman"/>
          <w:sz w:val="24"/>
          <w:szCs w:val="24"/>
        </w:rPr>
        <w:t>мезоскопическом</w:t>
      </w:r>
      <w:proofErr w:type="spellEnd"/>
      <w:r w:rsidRPr="0062491E">
        <w:rPr>
          <w:rFonts w:ascii="Times New Roman" w:hAnsi="Times New Roman" w:cs="Times New Roman"/>
          <w:sz w:val="24"/>
          <w:szCs w:val="24"/>
        </w:rPr>
        <w:t xml:space="preserve"> уровне являются дентинные к</w:t>
      </w:r>
      <w:r w:rsidRPr="0062491E">
        <w:rPr>
          <w:rFonts w:ascii="Times New Roman" w:hAnsi="Times New Roman" w:cs="Times New Roman"/>
          <w:sz w:val="24"/>
          <w:szCs w:val="24"/>
        </w:rPr>
        <w:t>а</w:t>
      </w:r>
      <w:r w:rsidRPr="0062491E">
        <w:rPr>
          <w:rFonts w:ascii="Times New Roman" w:hAnsi="Times New Roman" w:cs="Times New Roman"/>
          <w:sz w:val="24"/>
          <w:szCs w:val="24"/>
        </w:rPr>
        <w:t>налы и эмалевые стержни для дентина и эмали, соответственно. По своим прочностным сво</w:t>
      </w:r>
      <w:r w:rsidRPr="0062491E">
        <w:rPr>
          <w:rFonts w:ascii="Times New Roman" w:hAnsi="Times New Roman" w:cs="Times New Roman"/>
          <w:sz w:val="24"/>
          <w:szCs w:val="24"/>
        </w:rPr>
        <w:t>й</w:t>
      </w:r>
      <w:r w:rsidRPr="0062491E">
        <w:rPr>
          <w:rFonts w:ascii="Times New Roman" w:hAnsi="Times New Roman" w:cs="Times New Roman"/>
          <w:sz w:val="24"/>
          <w:szCs w:val="24"/>
        </w:rPr>
        <w:t>ствам они являются уникальными материалами, что позволяет им функционировать в т</w:t>
      </w:r>
      <w:r w:rsidRPr="0062491E">
        <w:rPr>
          <w:rFonts w:ascii="Times New Roman" w:hAnsi="Times New Roman" w:cs="Times New Roman"/>
          <w:sz w:val="24"/>
          <w:szCs w:val="24"/>
        </w:rPr>
        <w:t>е</w:t>
      </w:r>
      <w:r w:rsidRPr="0062491E">
        <w:rPr>
          <w:rFonts w:ascii="Times New Roman" w:hAnsi="Times New Roman" w:cs="Times New Roman"/>
          <w:sz w:val="24"/>
          <w:szCs w:val="24"/>
        </w:rPr>
        <w:t>чение всей жизни человека. Понимание вклада каждого элемента в их деформационное поведение даст возможность создавать новые материалы, обладающими высокими про</w:t>
      </w:r>
      <w:r w:rsidRPr="0062491E">
        <w:rPr>
          <w:rFonts w:ascii="Times New Roman" w:hAnsi="Times New Roman" w:cs="Times New Roman"/>
          <w:sz w:val="24"/>
          <w:szCs w:val="24"/>
        </w:rPr>
        <w:t>ч</w:t>
      </w:r>
      <w:r w:rsidRPr="0062491E">
        <w:rPr>
          <w:rFonts w:ascii="Times New Roman" w:hAnsi="Times New Roman" w:cs="Times New Roman"/>
          <w:sz w:val="24"/>
          <w:szCs w:val="24"/>
        </w:rPr>
        <w:t>ностными свойствами. Целью данной работы является определения вклада в деформац</w:t>
      </w:r>
      <w:r w:rsidRPr="0062491E">
        <w:rPr>
          <w:rFonts w:ascii="Times New Roman" w:hAnsi="Times New Roman" w:cs="Times New Roman"/>
          <w:sz w:val="24"/>
          <w:szCs w:val="24"/>
        </w:rPr>
        <w:t>и</w:t>
      </w:r>
      <w:r w:rsidRPr="0062491E">
        <w:rPr>
          <w:rFonts w:ascii="Times New Roman" w:hAnsi="Times New Roman" w:cs="Times New Roman"/>
          <w:sz w:val="24"/>
          <w:szCs w:val="24"/>
        </w:rPr>
        <w:t xml:space="preserve">онное поведение дентинных каналов и эмалевых стержней. Для этого будут проведены механические испытания дентина и эмали на сдвиг в трех направлениях. </w:t>
      </w:r>
    </w:p>
    <w:p w:rsidR="0062491E" w:rsidRPr="0062491E" w:rsidRDefault="0062491E" w:rsidP="00624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1E">
        <w:rPr>
          <w:rFonts w:ascii="Times New Roman" w:hAnsi="Times New Roman" w:cs="Times New Roman"/>
          <w:sz w:val="24"/>
          <w:szCs w:val="24"/>
        </w:rPr>
        <w:t xml:space="preserve">Образцы были вырезаны из центральной части </w:t>
      </w:r>
      <w:proofErr w:type="spellStart"/>
      <w:r w:rsidRPr="0062491E">
        <w:rPr>
          <w:rFonts w:ascii="Times New Roman" w:hAnsi="Times New Roman" w:cs="Times New Roman"/>
          <w:sz w:val="24"/>
          <w:szCs w:val="24"/>
        </w:rPr>
        <w:t>коронкового</w:t>
      </w:r>
      <w:proofErr w:type="spellEnd"/>
      <w:r w:rsidRPr="0062491E">
        <w:rPr>
          <w:rFonts w:ascii="Times New Roman" w:hAnsi="Times New Roman" w:cs="Times New Roman"/>
          <w:sz w:val="24"/>
          <w:szCs w:val="24"/>
        </w:rPr>
        <w:t xml:space="preserve"> дентина и боковой эм</w:t>
      </w:r>
      <w:r w:rsidRPr="0062491E">
        <w:rPr>
          <w:rFonts w:ascii="Times New Roman" w:hAnsi="Times New Roman" w:cs="Times New Roman"/>
          <w:sz w:val="24"/>
          <w:szCs w:val="24"/>
        </w:rPr>
        <w:t>а</w:t>
      </w:r>
      <w:r w:rsidRPr="0062491E">
        <w:rPr>
          <w:rFonts w:ascii="Times New Roman" w:hAnsi="Times New Roman" w:cs="Times New Roman"/>
          <w:sz w:val="24"/>
          <w:szCs w:val="24"/>
        </w:rPr>
        <w:t>ли. Они имели форму параллелепипеда размером 2×1,5×4 мм</w:t>
      </w:r>
      <w:r w:rsidRPr="0062491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491E">
        <w:rPr>
          <w:rFonts w:ascii="Times New Roman" w:hAnsi="Times New Roman" w:cs="Times New Roman"/>
          <w:sz w:val="24"/>
          <w:szCs w:val="24"/>
        </w:rPr>
        <w:t xml:space="preserve"> и 1,5×1×3 мм</w:t>
      </w:r>
      <w:r w:rsidRPr="0062491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491E">
        <w:rPr>
          <w:rFonts w:ascii="Times New Roman" w:hAnsi="Times New Roman" w:cs="Times New Roman"/>
          <w:sz w:val="24"/>
          <w:szCs w:val="24"/>
        </w:rPr>
        <w:t xml:space="preserve"> для дентина и эмали, соответственно. Было изготовлено 3 группы по 10 образцов, как для дентина, так и для эмали. В первой группе образцов дентинные каналы и эмалевые стержни лежали в плоскости сдвига и были ориентированы перпендикулярно направлению нагружения, т</w:t>
      </w:r>
      <w:r w:rsidRPr="0062491E">
        <w:rPr>
          <w:rFonts w:ascii="Times New Roman" w:hAnsi="Times New Roman" w:cs="Times New Roman"/>
          <w:sz w:val="24"/>
          <w:szCs w:val="24"/>
        </w:rPr>
        <w:t>о</w:t>
      </w:r>
      <w:r w:rsidRPr="0062491E">
        <w:rPr>
          <w:rFonts w:ascii="Times New Roman" w:hAnsi="Times New Roman" w:cs="Times New Roman"/>
          <w:sz w:val="24"/>
          <w:szCs w:val="24"/>
        </w:rPr>
        <w:t xml:space="preserve">гда как во второй группе они также лежали в плоскости сдвига, но были ориентированы параллельно направлению нагружения. В третьей группе образцов дентинные каналы и эмалевые стержни были ориентированы перпендикулярно, как плоскости сдвига, так и направлению нагружения. Механические испытания выполняли на </w:t>
      </w:r>
      <w:r w:rsidRPr="0062491E">
        <w:rPr>
          <w:rFonts w:ascii="Times New Roman" w:hAnsi="Times New Roman" w:cs="Times New Roman"/>
          <w:sz w:val="24"/>
          <w:szCs w:val="24"/>
          <w:lang w:val="en-US"/>
        </w:rPr>
        <w:t>Shimadzu</w:t>
      </w:r>
      <w:r w:rsidRPr="0062491E">
        <w:rPr>
          <w:rFonts w:ascii="Times New Roman" w:hAnsi="Times New Roman" w:cs="Times New Roman"/>
          <w:sz w:val="24"/>
          <w:szCs w:val="24"/>
        </w:rPr>
        <w:t xml:space="preserve"> </w:t>
      </w:r>
      <w:r w:rsidRPr="0062491E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62491E">
        <w:rPr>
          <w:rFonts w:ascii="Times New Roman" w:hAnsi="Times New Roman" w:cs="Times New Roman"/>
          <w:sz w:val="24"/>
          <w:szCs w:val="24"/>
        </w:rPr>
        <w:t>-</w:t>
      </w:r>
      <w:r w:rsidRPr="0062491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2491E">
        <w:rPr>
          <w:rFonts w:ascii="Times New Roman" w:hAnsi="Times New Roman" w:cs="Times New Roman"/>
          <w:sz w:val="24"/>
          <w:szCs w:val="24"/>
        </w:rPr>
        <w:t xml:space="preserve"> 50</w:t>
      </w:r>
      <w:proofErr w:type="spellStart"/>
      <w:r w:rsidRPr="0062491E">
        <w:rPr>
          <w:rFonts w:ascii="Times New Roman" w:hAnsi="Times New Roman" w:cs="Times New Roman"/>
          <w:sz w:val="24"/>
          <w:szCs w:val="24"/>
          <w:lang w:val="en-US"/>
        </w:rPr>
        <w:t>kN</w:t>
      </w:r>
      <w:proofErr w:type="spellEnd"/>
      <w:r w:rsidRPr="0062491E">
        <w:rPr>
          <w:rFonts w:ascii="Times New Roman" w:hAnsi="Times New Roman" w:cs="Times New Roman"/>
          <w:sz w:val="24"/>
          <w:szCs w:val="24"/>
        </w:rPr>
        <w:t>, скорость нагружения 0,1 мм/мин. Изломы изучали при помощи сканирующего микроск</w:t>
      </w:r>
      <w:r w:rsidRPr="0062491E">
        <w:rPr>
          <w:rFonts w:ascii="Times New Roman" w:hAnsi="Times New Roman" w:cs="Times New Roman"/>
          <w:sz w:val="24"/>
          <w:szCs w:val="24"/>
        </w:rPr>
        <w:t>о</w:t>
      </w:r>
      <w:r w:rsidRPr="0062491E">
        <w:rPr>
          <w:rFonts w:ascii="Times New Roman" w:hAnsi="Times New Roman" w:cs="Times New Roman"/>
          <w:sz w:val="24"/>
          <w:szCs w:val="24"/>
        </w:rPr>
        <w:t xml:space="preserve">па </w:t>
      </w:r>
      <w:r w:rsidRPr="0062491E">
        <w:rPr>
          <w:rFonts w:ascii="Times New Roman" w:hAnsi="Times New Roman" w:cs="Times New Roman"/>
          <w:sz w:val="24"/>
          <w:szCs w:val="24"/>
          <w:lang w:val="en-US"/>
        </w:rPr>
        <w:t>JEM</w:t>
      </w:r>
      <w:r w:rsidRPr="0062491E">
        <w:rPr>
          <w:rFonts w:ascii="Times New Roman" w:hAnsi="Times New Roman" w:cs="Times New Roman"/>
          <w:sz w:val="24"/>
          <w:szCs w:val="24"/>
        </w:rPr>
        <w:t xml:space="preserve"> 6390 </w:t>
      </w:r>
      <w:r w:rsidRPr="0062491E">
        <w:rPr>
          <w:rFonts w:ascii="Times New Roman" w:hAnsi="Times New Roman" w:cs="Times New Roman"/>
          <w:sz w:val="24"/>
          <w:szCs w:val="24"/>
          <w:lang w:val="en-US"/>
        </w:rPr>
        <w:t>LV</w:t>
      </w:r>
      <w:r w:rsidRPr="0062491E">
        <w:rPr>
          <w:rFonts w:ascii="Times New Roman" w:hAnsi="Times New Roman" w:cs="Times New Roman"/>
          <w:sz w:val="24"/>
          <w:szCs w:val="24"/>
        </w:rPr>
        <w:t>.</w:t>
      </w:r>
    </w:p>
    <w:p w:rsidR="0062491E" w:rsidRPr="0062491E" w:rsidRDefault="0062491E" w:rsidP="00624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1E">
        <w:rPr>
          <w:rFonts w:ascii="Times New Roman" w:hAnsi="Times New Roman" w:cs="Times New Roman"/>
          <w:sz w:val="24"/>
          <w:szCs w:val="24"/>
        </w:rPr>
        <w:t>Механические свойства образцов дентина из первой и второй группы были подо</w:t>
      </w:r>
      <w:r w:rsidRPr="0062491E">
        <w:rPr>
          <w:rFonts w:ascii="Times New Roman" w:hAnsi="Times New Roman" w:cs="Times New Roman"/>
          <w:sz w:val="24"/>
          <w:szCs w:val="24"/>
        </w:rPr>
        <w:t>б</w:t>
      </w:r>
      <w:r w:rsidRPr="0062491E">
        <w:rPr>
          <w:rFonts w:ascii="Times New Roman" w:hAnsi="Times New Roman" w:cs="Times New Roman"/>
          <w:sz w:val="24"/>
          <w:szCs w:val="24"/>
        </w:rPr>
        <w:t xml:space="preserve">ными: </w:t>
      </w:r>
      <w:r w:rsidRPr="0062491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1 </w:t>
      </w:r>
      <w:r w:rsidRPr="0062491E">
        <w:rPr>
          <w:rFonts w:ascii="Times New Roman" w:hAnsi="Times New Roman" w:cs="Times New Roman"/>
          <w:sz w:val="24"/>
          <w:szCs w:val="24"/>
        </w:rPr>
        <w:t xml:space="preserve">= 0,56 ± 0,08 ГПа и </w:t>
      </w:r>
      <w:r w:rsidRPr="0062491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62491E">
        <w:rPr>
          <w:rFonts w:ascii="Times New Roman" w:hAnsi="Times New Roman" w:cs="Times New Roman"/>
          <w:sz w:val="24"/>
          <w:szCs w:val="24"/>
        </w:rPr>
        <w:t>= 0,64 ± 0,15 ГПа; σ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в1 </w:t>
      </w:r>
      <w:r w:rsidRPr="0062491E">
        <w:rPr>
          <w:rFonts w:ascii="Times New Roman" w:hAnsi="Times New Roman" w:cs="Times New Roman"/>
          <w:sz w:val="24"/>
          <w:szCs w:val="24"/>
        </w:rPr>
        <w:t>= 64,0 ± 3,1 МПа и σ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в2 </w:t>
      </w:r>
      <w:r w:rsidRPr="0062491E">
        <w:rPr>
          <w:rFonts w:ascii="Times New Roman" w:hAnsi="Times New Roman" w:cs="Times New Roman"/>
          <w:sz w:val="24"/>
          <w:szCs w:val="24"/>
        </w:rPr>
        <w:t>= 70,2 ± 4,1 МПа; δ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1 </w:t>
      </w:r>
      <w:r w:rsidRPr="0062491E">
        <w:rPr>
          <w:rFonts w:ascii="Times New Roman" w:hAnsi="Times New Roman" w:cs="Times New Roman"/>
          <w:sz w:val="24"/>
          <w:szCs w:val="24"/>
        </w:rPr>
        <w:t>= 30,2 ± 2,2 % и δ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62491E">
        <w:rPr>
          <w:rFonts w:ascii="Times New Roman" w:hAnsi="Times New Roman" w:cs="Times New Roman"/>
          <w:sz w:val="24"/>
          <w:szCs w:val="24"/>
        </w:rPr>
        <w:t>= 30,7 ± 2,2 %. Ход деформационной кривой третьей группы образцов совпадал с ходом кривых образцов из первой и второй группы до δ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2491E">
        <w:rPr>
          <w:rFonts w:ascii="Times New Roman" w:hAnsi="Times New Roman" w:cs="Times New Roman"/>
          <w:sz w:val="24"/>
          <w:szCs w:val="24"/>
        </w:rPr>
        <w:t>=16,9±1,3%, после чего образцы разрушались (</w:t>
      </w:r>
      <w:r w:rsidRPr="0062491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62491E">
        <w:rPr>
          <w:rFonts w:ascii="Times New Roman" w:hAnsi="Times New Roman" w:cs="Times New Roman"/>
          <w:sz w:val="24"/>
          <w:szCs w:val="24"/>
        </w:rPr>
        <w:t>= 0,58±0,05ГПа и σ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в3 </w:t>
      </w:r>
      <w:r w:rsidRPr="0062491E">
        <w:rPr>
          <w:rFonts w:ascii="Times New Roman" w:hAnsi="Times New Roman" w:cs="Times New Roman"/>
          <w:sz w:val="24"/>
          <w:szCs w:val="24"/>
        </w:rPr>
        <w:t>= 42,1 ± 2,3 МПа). Поэтому анизотропию механических свойств дентина можно не учитывать до ~17 % деформации, а направление перпендикулярное дентинным каналам является слабым. Аттестация поверхностей изломов дентина подтвердило это предположение. Поверхность излома гладкая, кода дентинные каналы ориентированы перпендикулярно п</w:t>
      </w:r>
      <w:r w:rsidRPr="0062491E">
        <w:rPr>
          <w:rFonts w:ascii="Times New Roman" w:hAnsi="Times New Roman" w:cs="Times New Roman"/>
          <w:sz w:val="24"/>
          <w:szCs w:val="24"/>
        </w:rPr>
        <w:t>о</w:t>
      </w:r>
      <w:r w:rsidRPr="0062491E">
        <w:rPr>
          <w:rFonts w:ascii="Times New Roman" w:hAnsi="Times New Roman" w:cs="Times New Roman"/>
          <w:sz w:val="24"/>
          <w:szCs w:val="24"/>
        </w:rPr>
        <w:t>верхности, тогда как при параллельной ориентировке дентинных каналов на поверхности излома наблюдаются ступеньки, что соответствует переходу трещины на более легкое направление. Анизотропия в эмали более значительна по сравнению с дентином и ее мо</w:t>
      </w:r>
      <w:r w:rsidRPr="0062491E">
        <w:rPr>
          <w:rFonts w:ascii="Times New Roman" w:hAnsi="Times New Roman" w:cs="Times New Roman"/>
          <w:sz w:val="24"/>
          <w:szCs w:val="24"/>
        </w:rPr>
        <w:t>ж</w:t>
      </w:r>
      <w:r w:rsidRPr="0062491E">
        <w:rPr>
          <w:rFonts w:ascii="Times New Roman" w:hAnsi="Times New Roman" w:cs="Times New Roman"/>
          <w:sz w:val="24"/>
          <w:szCs w:val="24"/>
        </w:rPr>
        <w:t xml:space="preserve">но не учитывать только до деформации ~5%. </w:t>
      </w:r>
      <w:r w:rsidRPr="0062491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1 </w:t>
      </w:r>
      <w:r w:rsidRPr="0062491E">
        <w:rPr>
          <w:rFonts w:ascii="Times New Roman" w:hAnsi="Times New Roman" w:cs="Times New Roman"/>
          <w:sz w:val="24"/>
          <w:szCs w:val="24"/>
        </w:rPr>
        <w:t xml:space="preserve">= 0,76 ± 0,17 ГПа, </w:t>
      </w:r>
      <w:r w:rsidRPr="0062491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62491E">
        <w:rPr>
          <w:rFonts w:ascii="Times New Roman" w:hAnsi="Times New Roman" w:cs="Times New Roman"/>
          <w:sz w:val="24"/>
          <w:szCs w:val="24"/>
        </w:rPr>
        <w:t xml:space="preserve">= 1,16 ± 0,29 ГПа и </w:t>
      </w:r>
      <w:r w:rsidRPr="0062491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62491E">
        <w:rPr>
          <w:rFonts w:ascii="Times New Roman" w:hAnsi="Times New Roman" w:cs="Times New Roman"/>
          <w:sz w:val="24"/>
          <w:szCs w:val="24"/>
        </w:rPr>
        <w:t>= 0,90 ± 0,29 ГПа; σ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gramStart"/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62491E">
        <w:rPr>
          <w:rFonts w:ascii="Times New Roman" w:hAnsi="Times New Roman" w:cs="Times New Roman"/>
          <w:sz w:val="24"/>
          <w:szCs w:val="24"/>
        </w:rPr>
        <w:t>= 38,4 ± 1,3 МПа, σ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в2 </w:t>
      </w:r>
      <w:r w:rsidRPr="0062491E">
        <w:rPr>
          <w:rFonts w:ascii="Times New Roman" w:hAnsi="Times New Roman" w:cs="Times New Roman"/>
          <w:sz w:val="24"/>
          <w:szCs w:val="24"/>
        </w:rPr>
        <w:t>= 45,9 ± 0,8 МПа и σ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в3 </w:t>
      </w:r>
      <w:r w:rsidRPr="0062491E">
        <w:rPr>
          <w:rFonts w:ascii="Times New Roman" w:hAnsi="Times New Roman" w:cs="Times New Roman"/>
          <w:sz w:val="24"/>
          <w:szCs w:val="24"/>
        </w:rPr>
        <w:t>= 146,7 ± 5,7 МПа; δ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1 </w:t>
      </w:r>
      <w:r w:rsidRPr="0062491E">
        <w:rPr>
          <w:rFonts w:ascii="Times New Roman" w:hAnsi="Times New Roman" w:cs="Times New Roman"/>
          <w:sz w:val="24"/>
          <w:szCs w:val="24"/>
        </w:rPr>
        <w:t>= 9,9 ± 0,5 %, δ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62491E">
        <w:rPr>
          <w:rFonts w:ascii="Times New Roman" w:hAnsi="Times New Roman" w:cs="Times New Roman"/>
          <w:sz w:val="24"/>
          <w:szCs w:val="24"/>
        </w:rPr>
        <w:t>= 7,2 ± 1,0 % и δ</w:t>
      </w:r>
      <w:r w:rsidRPr="0062491E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62491E">
        <w:rPr>
          <w:rFonts w:ascii="Times New Roman" w:hAnsi="Times New Roman" w:cs="Times New Roman"/>
          <w:sz w:val="24"/>
          <w:szCs w:val="24"/>
        </w:rPr>
        <w:t>= 51,1 ± 3,5 %. Плоскость перпендикулярная эмалевым стержням является направлением с большим сопротивлением разрушения. Такое закл</w:t>
      </w:r>
      <w:r w:rsidRPr="0062491E">
        <w:rPr>
          <w:rFonts w:ascii="Times New Roman" w:hAnsi="Times New Roman" w:cs="Times New Roman"/>
          <w:sz w:val="24"/>
          <w:szCs w:val="24"/>
        </w:rPr>
        <w:t>ю</w:t>
      </w:r>
      <w:r w:rsidRPr="0062491E">
        <w:rPr>
          <w:rFonts w:ascii="Times New Roman" w:hAnsi="Times New Roman" w:cs="Times New Roman"/>
          <w:sz w:val="24"/>
          <w:szCs w:val="24"/>
        </w:rPr>
        <w:t>чение, также подтверждается микроскопическими исследованиями роста трещины, кот</w:t>
      </w:r>
      <w:r w:rsidRPr="0062491E">
        <w:rPr>
          <w:rFonts w:ascii="Times New Roman" w:hAnsi="Times New Roman" w:cs="Times New Roman"/>
          <w:sz w:val="24"/>
          <w:szCs w:val="24"/>
        </w:rPr>
        <w:t>о</w:t>
      </w:r>
      <w:r w:rsidRPr="0062491E">
        <w:rPr>
          <w:rFonts w:ascii="Times New Roman" w:hAnsi="Times New Roman" w:cs="Times New Roman"/>
          <w:sz w:val="24"/>
          <w:szCs w:val="24"/>
        </w:rPr>
        <w:t xml:space="preserve">рая распространяется вдоль эмалевых призм, но никогда поперек.  </w:t>
      </w:r>
    </w:p>
    <w:p w:rsidR="0062491E" w:rsidRPr="0062491E" w:rsidRDefault="0062491E" w:rsidP="00624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1E">
        <w:rPr>
          <w:rFonts w:ascii="Times New Roman" w:hAnsi="Times New Roman" w:cs="Times New Roman"/>
          <w:sz w:val="24"/>
          <w:szCs w:val="24"/>
        </w:rPr>
        <w:t xml:space="preserve">Исследование выполнено при финансовой поддержке РФФИ в рамках научного проекта № </w:t>
      </w:r>
      <w:proofErr w:type="gramStart"/>
      <w:r w:rsidRPr="0062491E">
        <w:rPr>
          <w:rFonts w:ascii="Times New Roman" w:hAnsi="Times New Roman" w:cs="Times New Roman"/>
          <w:sz w:val="24"/>
          <w:szCs w:val="24"/>
        </w:rPr>
        <w:t>14-08-31691</w:t>
      </w:r>
      <w:proofErr w:type="gramEnd"/>
      <w:r w:rsidRPr="0062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91E">
        <w:rPr>
          <w:rFonts w:ascii="Times New Roman" w:hAnsi="Times New Roman" w:cs="Times New Roman"/>
          <w:sz w:val="24"/>
          <w:szCs w:val="24"/>
        </w:rPr>
        <w:t>мол_а</w:t>
      </w:r>
      <w:proofErr w:type="spellEnd"/>
      <w:r w:rsidRPr="0062491E">
        <w:rPr>
          <w:rFonts w:ascii="Times New Roman" w:hAnsi="Times New Roman" w:cs="Times New Roman"/>
          <w:sz w:val="24"/>
          <w:szCs w:val="24"/>
        </w:rPr>
        <w:t xml:space="preserve"> и </w:t>
      </w:r>
      <w:r w:rsidRPr="0062491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при финансовой поддержке </w:t>
      </w:r>
      <w:proofErr w:type="spellStart"/>
      <w:r w:rsidRPr="0062491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УрФУ</w:t>
      </w:r>
      <w:proofErr w:type="spellEnd"/>
      <w:r w:rsidRPr="0062491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в рамках реализации пр</w:t>
      </w:r>
      <w:r w:rsidRPr="0062491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</w:t>
      </w:r>
      <w:r w:rsidRPr="0062491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граммы развития университета «Молодые ученые </w:t>
      </w:r>
      <w:proofErr w:type="spellStart"/>
      <w:r w:rsidRPr="0062491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УрФУ</w:t>
      </w:r>
      <w:proofErr w:type="spellEnd"/>
      <w:r w:rsidRPr="0062491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»</w:t>
      </w:r>
    </w:p>
    <w:p w:rsidR="00A51DF8" w:rsidRPr="0062491E" w:rsidRDefault="00A51DF8" w:rsidP="006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1DF8" w:rsidRPr="0062491E" w:rsidSect="002D40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50"/>
    <w:rsid w:val="00000D31"/>
    <w:rsid w:val="000850FB"/>
    <w:rsid w:val="002D40D4"/>
    <w:rsid w:val="004F5250"/>
    <w:rsid w:val="005657BC"/>
    <w:rsid w:val="0062491E"/>
    <w:rsid w:val="006C20D0"/>
    <w:rsid w:val="00724202"/>
    <w:rsid w:val="00951675"/>
    <w:rsid w:val="009674D1"/>
    <w:rsid w:val="009905BC"/>
    <w:rsid w:val="009E0588"/>
    <w:rsid w:val="00A51DF8"/>
    <w:rsid w:val="00AF06AD"/>
    <w:rsid w:val="00C85093"/>
    <w:rsid w:val="00D448FF"/>
    <w:rsid w:val="00DF3152"/>
    <w:rsid w:val="00E010FF"/>
    <w:rsid w:val="00EA3D94"/>
    <w:rsid w:val="00F1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Зайцев</dc:creator>
  <cp:lastModifiedBy>Larisa</cp:lastModifiedBy>
  <cp:revision>3</cp:revision>
  <dcterms:created xsi:type="dcterms:W3CDTF">2014-04-11T03:45:00Z</dcterms:created>
  <dcterms:modified xsi:type="dcterms:W3CDTF">2014-05-05T11:01:00Z</dcterms:modified>
</cp:coreProperties>
</file>